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7D307" w14:textId="77777777" w:rsidR="00B305C9" w:rsidRDefault="00B305C9" w:rsidP="00B305C9"/>
    <w:p w14:paraId="62D76478" w14:textId="06168824" w:rsidR="00B305C9" w:rsidRPr="006A592B" w:rsidRDefault="006A592B" w:rsidP="009756AE">
      <w:pPr>
        <w:jc w:val="center"/>
        <w:rPr>
          <w:rFonts w:ascii="Book Antiqua" w:hAnsi="Book Antiqua"/>
          <w:b/>
          <w:sz w:val="140"/>
          <w:szCs w:val="140"/>
        </w:rPr>
      </w:pPr>
      <w:r w:rsidRPr="006A592B">
        <w:rPr>
          <w:rFonts w:ascii="Book Antiqua" w:hAnsi="Book Antiqua"/>
          <w:b/>
          <w:sz w:val="140"/>
          <w:szCs w:val="140"/>
        </w:rPr>
        <w:t>Wicked Awesom</w:t>
      </w:r>
      <w:r w:rsidR="0000582B">
        <w:rPr>
          <w:rFonts w:ascii="Book Antiqua" w:hAnsi="Book Antiqua"/>
          <w:b/>
          <w:sz w:val="140"/>
          <w:szCs w:val="140"/>
        </w:rPr>
        <w:t>e</w:t>
      </w:r>
      <w:r w:rsidRPr="006A592B">
        <w:rPr>
          <w:rFonts w:ascii="Book Antiqua" w:hAnsi="Book Antiqua"/>
          <w:b/>
          <w:sz w:val="140"/>
          <w:szCs w:val="140"/>
        </w:rPr>
        <w:t xml:space="preserve"> Coffee Fundraiser </w:t>
      </w:r>
    </w:p>
    <w:p w14:paraId="7C3640E2" w14:textId="77777777" w:rsidR="00952420" w:rsidRDefault="00952420" w:rsidP="00952420"/>
    <w:p w14:paraId="7668B21A" w14:textId="77777777" w:rsidR="008B4912" w:rsidRPr="00952420" w:rsidRDefault="008B4912" w:rsidP="00B71AED">
      <w:pPr>
        <w:spacing w:line="225" w:lineRule="auto"/>
        <w:jc w:val="center"/>
        <w:rPr>
          <w:rFonts w:ascii="Arial" w:hAnsi="Arial" w:cs="Arial"/>
          <w:b/>
          <w:sz w:val="16"/>
          <w:szCs w:val="16"/>
        </w:rPr>
      </w:pPr>
    </w:p>
    <w:p w14:paraId="298587B5" w14:textId="430D6A89" w:rsidR="003B312B" w:rsidRPr="009756AE" w:rsidRDefault="006E09F5" w:rsidP="00E50812">
      <w:pPr>
        <w:numPr>
          <w:ilvl w:val="0"/>
          <w:numId w:val="1"/>
        </w:numPr>
        <w:spacing w:line="225" w:lineRule="auto"/>
        <w:rPr>
          <w:rFonts w:ascii="Arial" w:hAnsi="Arial" w:cs="Arial"/>
          <w:b/>
          <w:sz w:val="60"/>
          <w:szCs w:val="60"/>
        </w:rPr>
      </w:pPr>
      <w:r>
        <w:rPr>
          <w:rFonts w:ascii="Arial" w:hAnsi="Arial" w:cs="Arial"/>
          <w:b/>
          <w:sz w:val="60"/>
          <w:szCs w:val="60"/>
        </w:rPr>
        <w:t>Yummy</w:t>
      </w:r>
      <w:r w:rsidR="00B305C9" w:rsidRPr="00316FC0">
        <w:rPr>
          <w:rFonts w:ascii="Arial" w:hAnsi="Arial" w:cs="Arial"/>
          <w:b/>
          <w:sz w:val="60"/>
          <w:szCs w:val="60"/>
        </w:rPr>
        <w:t xml:space="preserve"> – </w:t>
      </w:r>
      <w:r w:rsidR="006A592B">
        <w:rPr>
          <w:rFonts w:ascii="Arial" w:hAnsi="Arial" w:cs="Arial"/>
          <w:sz w:val="60"/>
          <w:szCs w:val="60"/>
        </w:rPr>
        <w:t>15</w:t>
      </w:r>
      <w:r w:rsidR="003E6820">
        <w:rPr>
          <w:rFonts w:ascii="Arial" w:hAnsi="Arial" w:cs="Arial"/>
          <w:sz w:val="60"/>
          <w:szCs w:val="60"/>
        </w:rPr>
        <w:t xml:space="preserve"> </w:t>
      </w:r>
      <w:r>
        <w:rPr>
          <w:rFonts w:ascii="Arial" w:hAnsi="Arial" w:cs="Arial"/>
          <w:sz w:val="60"/>
          <w:szCs w:val="60"/>
        </w:rPr>
        <w:t>delicious</w:t>
      </w:r>
      <w:r w:rsidR="00523B23">
        <w:rPr>
          <w:rFonts w:ascii="Arial" w:hAnsi="Arial" w:cs="Arial"/>
          <w:sz w:val="60"/>
          <w:szCs w:val="60"/>
        </w:rPr>
        <w:t xml:space="preserve"> </w:t>
      </w:r>
      <w:r w:rsidR="006A592B">
        <w:rPr>
          <w:rFonts w:ascii="Arial" w:hAnsi="Arial" w:cs="Arial"/>
          <w:sz w:val="60"/>
          <w:szCs w:val="60"/>
        </w:rPr>
        <w:t>choices</w:t>
      </w:r>
    </w:p>
    <w:p w14:paraId="02B3F2C4" w14:textId="3326B0B2" w:rsidR="009756AE" w:rsidRPr="00316FC0" w:rsidRDefault="00DC1413" w:rsidP="00E50812">
      <w:pPr>
        <w:numPr>
          <w:ilvl w:val="0"/>
          <w:numId w:val="1"/>
        </w:numPr>
        <w:spacing w:line="225" w:lineRule="auto"/>
        <w:rPr>
          <w:rFonts w:ascii="Arial" w:hAnsi="Arial" w:cs="Arial"/>
          <w:b/>
          <w:sz w:val="60"/>
          <w:szCs w:val="60"/>
        </w:rPr>
      </w:pPr>
      <w:r>
        <w:rPr>
          <w:rFonts w:ascii="Arial" w:hAnsi="Arial" w:cs="Arial"/>
          <w:b/>
          <w:sz w:val="60"/>
          <w:szCs w:val="60"/>
        </w:rPr>
        <w:t xml:space="preserve">Low Minimum – </w:t>
      </w:r>
      <w:r>
        <w:rPr>
          <w:rFonts w:ascii="Arial" w:hAnsi="Arial" w:cs="Arial"/>
          <w:sz w:val="60"/>
          <w:szCs w:val="60"/>
        </w:rPr>
        <w:t xml:space="preserve">only </w:t>
      </w:r>
      <w:r w:rsidR="002B3E11">
        <w:rPr>
          <w:rFonts w:ascii="Arial" w:hAnsi="Arial" w:cs="Arial"/>
          <w:sz w:val="60"/>
          <w:szCs w:val="60"/>
        </w:rPr>
        <w:t>100</w:t>
      </w:r>
      <w:r>
        <w:rPr>
          <w:rFonts w:ascii="Arial" w:hAnsi="Arial" w:cs="Arial"/>
          <w:sz w:val="60"/>
          <w:szCs w:val="60"/>
        </w:rPr>
        <w:t xml:space="preserve"> units</w:t>
      </w:r>
    </w:p>
    <w:p w14:paraId="4C74EBAB" w14:textId="2901AB53" w:rsidR="005E1A3D" w:rsidRPr="00316FC0" w:rsidRDefault="00EE3781" w:rsidP="005E1A3D">
      <w:pPr>
        <w:numPr>
          <w:ilvl w:val="0"/>
          <w:numId w:val="1"/>
        </w:numPr>
        <w:spacing w:line="225" w:lineRule="auto"/>
        <w:rPr>
          <w:rFonts w:ascii="Arial" w:hAnsi="Arial" w:cs="Arial"/>
          <w:sz w:val="60"/>
          <w:szCs w:val="60"/>
        </w:rPr>
      </w:pPr>
      <w:r w:rsidRPr="00316FC0">
        <w:rPr>
          <w:rFonts w:ascii="Arial" w:hAnsi="Arial" w:cs="Arial"/>
          <w:b/>
          <w:sz w:val="60"/>
          <w:szCs w:val="60"/>
        </w:rPr>
        <w:t>High Profits</w:t>
      </w:r>
      <w:r w:rsidR="00952420" w:rsidRPr="00316FC0">
        <w:rPr>
          <w:rFonts w:ascii="Arial" w:hAnsi="Arial" w:cs="Arial"/>
          <w:sz w:val="60"/>
          <w:szCs w:val="60"/>
        </w:rPr>
        <w:t xml:space="preserve"> – </w:t>
      </w:r>
      <w:r w:rsidR="006A592B">
        <w:rPr>
          <w:rFonts w:ascii="Arial" w:hAnsi="Arial" w:cs="Arial"/>
          <w:sz w:val="60"/>
          <w:szCs w:val="60"/>
        </w:rPr>
        <w:t>4</w:t>
      </w:r>
      <w:r w:rsidR="005F1DF1">
        <w:rPr>
          <w:rFonts w:ascii="Arial" w:hAnsi="Arial" w:cs="Arial"/>
          <w:sz w:val="60"/>
          <w:szCs w:val="60"/>
        </w:rPr>
        <w:t>0</w:t>
      </w:r>
      <w:r w:rsidR="006A592B">
        <w:rPr>
          <w:rFonts w:ascii="Arial" w:hAnsi="Arial" w:cs="Arial"/>
          <w:sz w:val="60"/>
          <w:szCs w:val="60"/>
        </w:rPr>
        <w:t>% across the board</w:t>
      </w:r>
    </w:p>
    <w:p w14:paraId="3C81EE3E" w14:textId="64A7A3BA" w:rsidR="00A50385" w:rsidRPr="00316FC0" w:rsidRDefault="006A592B" w:rsidP="00A50385">
      <w:pPr>
        <w:numPr>
          <w:ilvl w:val="0"/>
          <w:numId w:val="1"/>
        </w:numPr>
        <w:spacing w:line="225" w:lineRule="auto"/>
        <w:rPr>
          <w:rFonts w:ascii="Arial" w:hAnsi="Arial" w:cs="Arial"/>
          <w:sz w:val="60"/>
          <w:szCs w:val="60"/>
        </w:rPr>
      </w:pPr>
      <w:r>
        <w:rPr>
          <w:rFonts w:ascii="Arial" w:hAnsi="Arial" w:cs="Arial"/>
          <w:b/>
          <w:sz w:val="60"/>
          <w:szCs w:val="60"/>
        </w:rPr>
        <w:t>Brand New</w:t>
      </w:r>
      <w:r w:rsidR="00952420" w:rsidRPr="00316FC0">
        <w:rPr>
          <w:rFonts w:ascii="Arial" w:hAnsi="Arial" w:cs="Arial"/>
          <w:sz w:val="60"/>
          <w:szCs w:val="60"/>
        </w:rPr>
        <w:t xml:space="preserve"> – </w:t>
      </w:r>
      <w:r>
        <w:rPr>
          <w:rFonts w:ascii="Arial" w:hAnsi="Arial" w:cs="Arial"/>
          <w:sz w:val="60"/>
          <w:szCs w:val="60"/>
        </w:rPr>
        <w:t>tasty and exotic</w:t>
      </w:r>
    </w:p>
    <w:p w14:paraId="3C0F7545" w14:textId="77777777" w:rsidR="00924766" w:rsidRDefault="00924766" w:rsidP="00924766">
      <w:pPr>
        <w:spacing w:line="225" w:lineRule="auto"/>
        <w:ind w:left="360"/>
        <w:rPr>
          <w:rFonts w:ascii="Arial" w:hAnsi="Arial" w:cs="Arial"/>
          <w:sz w:val="50"/>
          <w:szCs w:val="50"/>
        </w:rPr>
      </w:pPr>
    </w:p>
    <w:p w14:paraId="3D548494" w14:textId="34EF6AC2" w:rsidR="00B305C9" w:rsidRDefault="00924766" w:rsidP="00924766">
      <w:pPr>
        <w:spacing w:line="225" w:lineRule="auto"/>
        <w:jc w:val="center"/>
        <w:rPr>
          <w:rFonts w:ascii="Arial" w:hAnsi="Arial" w:cs="Arial"/>
          <w:b/>
          <w:sz w:val="40"/>
          <w:szCs w:val="40"/>
        </w:rPr>
      </w:pPr>
      <w:r w:rsidRPr="00E00016">
        <w:rPr>
          <w:rFonts w:ascii="Arial" w:hAnsi="Arial" w:cs="Arial"/>
          <w:b/>
          <w:sz w:val="40"/>
          <w:szCs w:val="40"/>
        </w:rPr>
        <w:t xml:space="preserve">Profit </w:t>
      </w:r>
      <w:r w:rsidR="003E6820">
        <w:rPr>
          <w:rFonts w:ascii="Arial" w:hAnsi="Arial" w:cs="Arial"/>
          <w:b/>
          <w:sz w:val="40"/>
          <w:szCs w:val="40"/>
        </w:rPr>
        <w:t>Margin</w:t>
      </w:r>
      <w:r w:rsidR="00AF015E">
        <w:rPr>
          <w:rFonts w:ascii="Arial" w:hAnsi="Arial" w:cs="Arial"/>
          <w:b/>
          <w:sz w:val="40"/>
          <w:szCs w:val="40"/>
        </w:rPr>
        <w:t>s</w:t>
      </w:r>
      <w:r w:rsidR="003E6820">
        <w:rPr>
          <w:rFonts w:ascii="Arial" w:hAnsi="Arial" w:cs="Arial"/>
          <w:b/>
          <w:sz w:val="40"/>
          <w:szCs w:val="40"/>
        </w:rPr>
        <w:t xml:space="preserve"> for</w:t>
      </w:r>
      <w:r w:rsidR="006A592B">
        <w:rPr>
          <w:rFonts w:ascii="Arial" w:hAnsi="Arial" w:cs="Arial"/>
          <w:b/>
          <w:sz w:val="40"/>
          <w:szCs w:val="40"/>
        </w:rPr>
        <w:t xml:space="preserve"> Coffee Fundraiser</w:t>
      </w:r>
      <w:r w:rsidR="006A592B">
        <w:rPr>
          <w:rFonts w:ascii="Arial" w:hAnsi="Arial" w:cs="Arial"/>
          <w:b/>
          <w:sz w:val="40"/>
          <w:szCs w:val="40"/>
        </w:rPr>
        <w:br/>
      </w:r>
    </w:p>
    <w:tbl>
      <w:tblPr>
        <w:tblStyle w:val="TableProfessional"/>
        <w:tblW w:w="4951" w:type="pct"/>
        <w:tblLook w:val="01E0" w:firstRow="1" w:lastRow="1" w:firstColumn="1" w:lastColumn="1" w:noHBand="0" w:noVBand="0"/>
      </w:tblPr>
      <w:tblGrid>
        <w:gridCol w:w="5681"/>
        <w:gridCol w:w="5568"/>
      </w:tblGrid>
      <w:tr w:rsidR="00AF015E" w:rsidRPr="00E4699A" w14:paraId="74DB2E0E" w14:textId="77777777" w:rsidTr="00EC2D0D">
        <w:trPr>
          <w:cnfStyle w:val="100000000000" w:firstRow="1" w:lastRow="0" w:firstColumn="0" w:lastColumn="0" w:oddVBand="0" w:evenVBand="0" w:oddHBand="0" w:evenHBand="0" w:firstRowFirstColumn="0" w:firstRowLastColumn="0" w:lastRowFirstColumn="0" w:lastRowLastColumn="0"/>
        </w:trPr>
        <w:tc>
          <w:tcPr>
            <w:tcW w:w="2525" w:type="pct"/>
          </w:tcPr>
          <w:p w14:paraId="480D4B92" w14:textId="77777777" w:rsidR="00AF015E" w:rsidRPr="008F0ECA" w:rsidRDefault="00AF015E" w:rsidP="00EC2D0D">
            <w:pPr>
              <w:spacing w:line="225" w:lineRule="auto"/>
              <w:jc w:val="center"/>
              <w:rPr>
                <w:rFonts w:ascii="Arial" w:hAnsi="Arial" w:cs="Arial"/>
                <w:b w:val="0"/>
                <w:bCs w:val="0"/>
                <w:color w:val="FFFFFF"/>
                <w:sz w:val="32"/>
                <w:szCs w:val="32"/>
              </w:rPr>
            </w:pPr>
            <w:r w:rsidRPr="008F0ECA">
              <w:rPr>
                <w:rFonts w:ascii="Arial" w:hAnsi="Arial" w:cs="Arial"/>
                <w:b w:val="0"/>
                <w:bCs w:val="0"/>
                <w:color w:val="FFFFFF"/>
                <w:sz w:val="32"/>
                <w:szCs w:val="32"/>
              </w:rPr>
              <w:t>No of Units</w:t>
            </w:r>
          </w:p>
        </w:tc>
        <w:tc>
          <w:tcPr>
            <w:tcW w:w="2475" w:type="pct"/>
          </w:tcPr>
          <w:p w14:paraId="4118F0D0" w14:textId="77777777" w:rsidR="00AF015E" w:rsidRPr="00E4699A" w:rsidRDefault="00AF015E" w:rsidP="00EC2D0D">
            <w:pPr>
              <w:spacing w:line="225" w:lineRule="auto"/>
              <w:jc w:val="center"/>
              <w:rPr>
                <w:rFonts w:ascii="Arial" w:hAnsi="Arial" w:cs="Arial"/>
                <w:b w:val="0"/>
                <w:bCs w:val="0"/>
                <w:color w:val="FFFFFF"/>
                <w:sz w:val="40"/>
                <w:szCs w:val="40"/>
              </w:rPr>
            </w:pPr>
            <w:r w:rsidRPr="008F0ECA">
              <w:rPr>
                <w:rFonts w:ascii="Arial" w:hAnsi="Arial" w:cs="Arial"/>
                <w:b w:val="0"/>
                <w:bCs w:val="0"/>
                <w:color w:val="FFFFFF"/>
                <w:sz w:val="32"/>
                <w:szCs w:val="32"/>
              </w:rPr>
              <w:t>Profit Percentage</w:t>
            </w:r>
          </w:p>
        </w:tc>
      </w:tr>
      <w:tr w:rsidR="00AF015E" w:rsidRPr="00E4699A" w14:paraId="74DC0ABD" w14:textId="77777777" w:rsidTr="00EC2D0D">
        <w:tc>
          <w:tcPr>
            <w:tcW w:w="2525" w:type="pct"/>
          </w:tcPr>
          <w:p w14:paraId="1782CEC4" w14:textId="0423CE9A" w:rsidR="00AF015E" w:rsidRPr="00E4699A" w:rsidRDefault="002B3E11" w:rsidP="00EC2D0D">
            <w:pPr>
              <w:spacing w:line="225" w:lineRule="auto"/>
              <w:jc w:val="center"/>
              <w:rPr>
                <w:rFonts w:ascii="Arial" w:hAnsi="Arial" w:cs="Arial"/>
                <w:b/>
                <w:bCs/>
                <w:sz w:val="40"/>
                <w:szCs w:val="40"/>
              </w:rPr>
            </w:pPr>
            <w:r>
              <w:rPr>
                <w:rFonts w:ascii="Arial" w:hAnsi="Arial" w:cs="Arial"/>
                <w:b/>
                <w:bCs/>
                <w:sz w:val="40"/>
                <w:szCs w:val="40"/>
              </w:rPr>
              <w:t>100</w:t>
            </w:r>
            <w:r w:rsidR="006A592B">
              <w:rPr>
                <w:rFonts w:ascii="Arial" w:hAnsi="Arial" w:cs="Arial"/>
                <w:b/>
                <w:bCs/>
                <w:sz w:val="40"/>
                <w:szCs w:val="40"/>
              </w:rPr>
              <w:t xml:space="preserve"> or more</w:t>
            </w:r>
          </w:p>
        </w:tc>
        <w:tc>
          <w:tcPr>
            <w:tcW w:w="2475" w:type="pct"/>
          </w:tcPr>
          <w:p w14:paraId="1042FC77" w14:textId="7571EA7A" w:rsidR="00AF015E" w:rsidRPr="00E4699A" w:rsidRDefault="005F1DF1" w:rsidP="00EC2D0D">
            <w:pPr>
              <w:spacing w:line="225" w:lineRule="auto"/>
              <w:jc w:val="center"/>
              <w:rPr>
                <w:rFonts w:ascii="Arial" w:hAnsi="Arial" w:cs="Arial"/>
                <w:b/>
                <w:bCs/>
                <w:sz w:val="40"/>
                <w:szCs w:val="40"/>
              </w:rPr>
            </w:pPr>
            <w:r>
              <w:rPr>
                <w:rFonts w:ascii="Arial" w:hAnsi="Arial" w:cs="Arial"/>
                <w:b/>
                <w:bCs/>
                <w:sz w:val="40"/>
                <w:szCs w:val="40"/>
              </w:rPr>
              <w:t>40%</w:t>
            </w:r>
          </w:p>
        </w:tc>
      </w:tr>
    </w:tbl>
    <w:p w14:paraId="6E6EF875" w14:textId="77777777" w:rsidR="00B305C9" w:rsidRDefault="00B305C9" w:rsidP="00B305C9">
      <w:pPr>
        <w:spacing w:line="225" w:lineRule="auto"/>
        <w:rPr>
          <w:rFonts w:ascii="Arial" w:hAnsi="Arial" w:cs="Arial"/>
          <w:sz w:val="36"/>
          <w:szCs w:val="36"/>
        </w:rPr>
      </w:pPr>
    </w:p>
    <w:p w14:paraId="439AE406" w14:textId="77777777" w:rsidR="00B305C9" w:rsidRPr="00952420" w:rsidRDefault="00B305C9" w:rsidP="00B305C9">
      <w:pPr>
        <w:spacing w:line="225" w:lineRule="auto"/>
        <w:rPr>
          <w:rFonts w:ascii="Arial" w:hAnsi="Arial" w:cs="Arial"/>
          <w:sz w:val="36"/>
          <w:szCs w:val="36"/>
        </w:rPr>
      </w:pPr>
    </w:p>
    <w:p w14:paraId="282A9452" w14:textId="77777777" w:rsidR="00433EF0" w:rsidRDefault="004768F0" w:rsidP="00433EF0">
      <w:pPr>
        <w:spacing w:line="223" w:lineRule="auto"/>
        <w:jc w:val="center"/>
        <w:rPr>
          <w:rFonts w:ascii="Arial" w:hAnsi="Arial" w:cs="Arial"/>
        </w:rPr>
      </w:pPr>
      <w:r>
        <w:rPr>
          <w:rFonts w:ascii="Arial" w:hAnsi="Arial" w:cs="Arial"/>
        </w:rPr>
        <w:t>Product</w:t>
      </w:r>
      <w:r w:rsidR="00433EF0">
        <w:rPr>
          <w:rFonts w:ascii="Arial" w:hAnsi="Arial" w:cs="Arial"/>
        </w:rPr>
        <w:t xml:space="preserve"> / Program Disclaimers</w:t>
      </w:r>
    </w:p>
    <w:p w14:paraId="0488D4FA" w14:textId="77777777" w:rsidR="00433EF0" w:rsidRDefault="00433EF0" w:rsidP="00433EF0">
      <w:pPr>
        <w:spacing w:line="223" w:lineRule="auto"/>
        <w:jc w:val="center"/>
        <w:rPr>
          <w:rFonts w:ascii="Arial" w:hAnsi="Arial" w:cs="Arial"/>
        </w:rPr>
      </w:pPr>
    </w:p>
    <w:p w14:paraId="105F1D5E" w14:textId="51C8DDD8" w:rsidR="00433EF0" w:rsidRDefault="00433EF0" w:rsidP="00433EF0">
      <w:pPr>
        <w:numPr>
          <w:ilvl w:val="0"/>
          <w:numId w:val="2"/>
        </w:numPr>
        <w:spacing w:line="223" w:lineRule="auto"/>
        <w:rPr>
          <w:rFonts w:ascii="Arial" w:hAnsi="Arial" w:cs="Arial"/>
        </w:rPr>
      </w:pPr>
      <w:r>
        <w:rPr>
          <w:rFonts w:ascii="Arial" w:hAnsi="Arial" w:cs="Arial"/>
        </w:rPr>
        <w:t>Certain products are manufactured in an environment that uses peanuts, wheat and other foods or ingredients that may cause an allergic reaction in children or adults.</w:t>
      </w:r>
    </w:p>
    <w:p w14:paraId="2BF64883" w14:textId="7E66E484" w:rsidR="00433EF0" w:rsidRDefault="00433EF0" w:rsidP="00433EF0">
      <w:pPr>
        <w:numPr>
          <w:ilvl w:val="0"/>
          <w:numId w:val="2"/>
        </w:numPr>
        <w:spacing w:line="223" w:lineRule="auto"/>
        <w:rPr>
          <w:rFonts w:ascii="Arial" w:hAnsi="Arial" w:cs="Arial"/>
        </w:rPr>
      </w:pPr>
      <w:r>
        <w:rPr>
          <w:rFonts w:ascii="Arial" w:hAnsi="Arial" w:cs="Arial"/>
        </w:rPr>
        <w:t xml:space="preserve">If </w:t>
      </w:r>
      <w:r w:rsidR="00D946F0">
        <w:rPr>
          <w:rFonts w:ascii="Arial" w:hAnsi="Arial" w:cs="Arial"/>
        </w:rPr>
        <w:t>your</w:t>
      </w:r>
      <w:r>
        <w:rPr>
          <w:rFonts w:ascii="Arial" w:hAnsi="Arial" w:cs="Arial"/>
        </w:rPr>
        <w:t xml:space="preserve"> total sale is less than </w:t>
      </w:r>
      <w:r w:rsidR="002B3E11">
        <w:rPr>
          <w:rFonts w:ascii="Arial" w:hAnsi="Arial" w:cs="Arial"/>
        </w:rPr>
        <w:t>100</w:t>
      </w:r>
      <w:r>
        <w:rPr>
          <w:rFonts w:ascii="Arial" w:hAnsi="Arial" w:cs="Arial"/>
        </w:rPr>
        <w:t xml:space="preserve"> units</w:t>
      </w:r>
      <w:r w:rsidR="0022017D" w:rsidRPr="0022017D">
        <w:rPr>
          <w:rFonts w:ascii="Arial" w:hAnsi="Arial" w:cs="Arial"/>
        </w:rPr>
        <w:t xml:space="preserve"> a shipping charge will be assessed based on the number of brochures sent, total retail and your location</w:t>
      </w:r>
      <w:r w:rsidR="0022017D">
        <w:rPr>
          <w:rFonts w:ascii="Arial" w:hAnsi="Arial" w:cs="Arial"/>
        </w:rPr>
        <w:t>.</w:t>
      </w:r>
    </w:p>
    <w:p w14:paraId="22488742" w14:textId="77777777" w:rsidR="00433EF0" w:rsidRDefault="00433EF0" w:rsidP="00433EF0">
      <w:pPr>
        <w:numPr>
          <w:ilvl w:val="0"/>
          <w:numId w:val="2"/>
        </w:numPr>
        <w:spacing w:line="223" w:lineRule="auto"/>
        <w:rPr>
          <w:rFonts w:ascii="Arial" w:hAnsi="Arial" w:cs="Arial"/>
        </w:rPr>
      </w:pPr>
      <w:r>
        <w:rPr>
          <w:rFonts w:ascii="Arial" w:hAnsi="Arial" w:cs="Arial"/>
        </w:rPr>
        <w:t>Tracy Hamilton Inc. requires that all payments be made before product shipments are made, unless other terms were agreed upon.  Sponsor is personally responsible for full payment of invoice.  If we ship brochures and you do not run the fundraiser a fee will be assessed, thank you.</w:t>
      </w:r>
    </w:p>
    <w:p w14:paraId="5379B542" w14:textId="77777777" w:rsidR="00316FC0" w:rsidRDefault="00316FC0" w:rsidP="00A50385">
      <w:pPr>
        <w:spacing w:line="225" w:lineRule="auto"/>
        <w:jc w:val="center"/>
        <w:rPr>
          <w:rFonts w:ascii="Arial" w:hAnsi="Arial" w:cs="Arial"/>
          <w:b/>
          <w:bCs/>
          <w:color w:val="FF0000"/>
          <w:sz w:val="32"/>
          <w:szCs w:val="32"/>
        </w:rPr>
      </w:pPr>
    </w:p>
    <w:p w14:paraId="44DA9082" w14:textId="77777777" w:rsidR="00316FC0" w:rsidRPr="00E00016" w:rsidRDefault="00316FC0" w:rsidP="00A50385">
      <w:pPr>
        <w:spacing w:line="225" w:lineRule="auto"/>
        <w:jc w:val="center"/>
        <w:rPr>
          <w:rFonts w:ascii="Arial" w:hAnsi="Arial" w:cs="Arial"/>
          <w:b/>
          <w:bCs/>
          <w:sz w:val="50"/>
          <w:szCs w:val="50"/>
        </w:rPr>
      </w:pPr>
      <w:r w:rsidRPr="00E00016">
        <w:rPr>
          <w:rFonts w:ascii="Arial" w:hAnsi="Arial" w:cs="Arial"/>
          <w:b/>
          <w:bCs/>
          <w:sz w:val="50"/>
          <w:szCs w:val="50"/>
        </w:rPr>
        <w:t>Call Toll Free 800.645.6550</w:t>
      </w:r>
    </w:p>
    <w:sectPr w:rsidR="00316FC0" w:rsidRPr="00E00016" w:rsidSect="00B305C9">
      <w:pgSz w:w="12240" w:h="15840"/>
      <w:pgMar w:top="432" w:right="432" w:bottom="432" w:left="432"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65229"/>
    <w:multiLevelType w:val="hybridMultilevel"/>
    <w:tmpl w:val="555E7E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ED6E7B"/>
    <w:multiLevelType w:val="hybridMultilevel"/>
    <w:tmpl w:val="DD4A1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88068944">
    <w:abstractNumId w:val="1"/>
  </w:num>
  <w:num w:numId="2" w16cid:durableId="13037270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385"/>
    <w:rsid w:val="0000582B"/>
    <w:rsid w:val="00115EA1"/>
    <w:rsid w:val="00131F97"/>
    <w:rsid w:val="0018509C"/>
    <w:rsid w:val="0022017D"/>
    <w:rsid w:val="002316DB"/>
    <w:rsid w:val="0027611C"/>
    <w:rsid w:val="002A3291"/>
    <w:rsid w:val="002A691C"/>
    <w:rsid w:val="002B3E11"/>
    <w:rsid w:val="00316FC0"/>
    <w:rsid w:val="003A63B3"/>
    <w:rsid w:val="003B312B"/>
    <w:rsid w:val="003E6820"/>
    <w:rsid w:val="003F22EB"/>
    <w:rsid w:val="00425125"/>
    <w:rsid w:val="00433EF0"/>
    <w:rsid w:val="00442E82"/>
    <w:rsid w:val="00455DEA"/>
    <w:rsid w:val="004768F0"/>
    <w:rsid w:val="004B00DA"/>
    <w:rsid w:val="00500C9E"/>
    <w:rsid w:val="00523B23"/>
    <w:rsid w:val="00527A1F"/>
    <w:rsid w:val="005C0C4A"/>
    <w:rsid w:val="005E1A3D"/>
    <w:rsid w:val="005F1DF1"/>
    <w:rsid w:val="00656391"/>
    <w:rsid w:val="006A592B"/>
    <w:rsid w:val="006E09F5"/>
    <w:rsid w:val="00730C31"/>
    <w:rsid w:val="0075074F"/>
    <w:rsid w:val="00771FE5"/>
    <w:rsid w:val="007E39A7"/>
    <w:rsid w:val="008A0B4C"/>
    <w:rsid w:val="008B4912"/>
    <w:rsid w:val="008C4870"/>
    <w:rsid w:val="00900AD1"/>
    <w:rsid w:val="00924766"/>
    <w:rsid w:val="00952420"/>
    <w:rsid w:val="00952D69"/>
    <w:rsid w:val="00966917"/>
    <w:rsid w:val="00970514"/>
    <w:rsid w:val="009756AE"/>
    <w:rsid w:val="009E2B89"/>
    <w:rsid w:val="009E4F47"/>
    <w:rsid w:val="00A11A2D"/>
    <w:rsid w:val="00A50385"/>
    <w:rsid w:val="00A600D0"/>
    <w:rsid w:val="00A65E24"/>
    <w:rsid w:val="00AC5676"/>
    <w:rsid w:val="00AE311E"/>
    <w:rsid w:val="00AF015E"/>
    <w:rsid w:val="00B305C9"/>
    <w:rsid w:val="00B71AED"/>
    <w:rsid w:val="00B87C94"/>
    <w:rsid w:val="00C4416B"/>
    <w:rsid w:val="00CE2E0C"/>
    <w:rsid w:val="00CF62FA"/>
    <w:rsid w:val="00D10D04"/>
    <w:rsid w:val="00D70008"/>
    <w:rsid w:val="00D946F0"/>
    <w:rsid w:val="00DC1413"/>
    <w:rsid w:val="00DD25CA"/>
    <w:rsid w:val="00DD30F5"/>
    <w:rsid w:val="00DE1C34"/>
    <w:rsid w:val="00DE3CBD"/>
    <w:rsid w:val="00DE75AD"/>
    <w:rsid w:val="00E00016"/>
    <w:rsid w:val="00E05455"/>
    <w:rsid w:val="00E433BD"/>
    <w:rsid w:val="00E50812"/>
    <w:rsid w:val="00E817B2"/>
    <w:rsid w:val="00EE3781"/>
    <w:rsid w:val="00F51366"/>
    <w:rsid w:val="00F709C0"/>
    <w:rsid w:val="00FB4D41"/>
    <w:rsid w:val="00FC6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1C505"/>
  <w15:chartTrackingRefBased/>
  <w15:docId w15:val="{5C62B7AA-8DA6-4AB2-8D0A-9F63C905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Arial" w:hAnsi="Arial" w:cs="Arial"/>
      <w:b/>
      <w:bCs/>
    </w:rPr>
  </w:style>
  <w:style w:type="character" w:styleId="Hyperlink">
    <w:name w:val="Hyperlink"/>
    <w:basedOn w:val="DefaultParagraphFont"/>
    <w:rsid w:val="00900AD1"/>
    <w:rPr>
      <w:color w:val="0000FF"/>
      <w:u w:val="single"/>
    </w:rPr>
  </w:style>
  <w:style w:type="paragraph" w:styleId="BalloonText">
    <w:name w:val="Balloon Text"/>
    <w:basedOn w:val="Normal"/>
    <w:semiHidden/>
    <w:rsid w:val="00425125"/>
    <w:rPr>
      <w:rFonts w:ascii="Tahoma" w:hAnsi="Tahoma" w:cs="Tahoma"/>
      <w:sz w:val="16"/>
      <w:szCs w:val="16"/>
    </w:rPr>
  </w:style>
  <w:style w:type="table" w:styleId="TableProfessional">
    <w:name w:val="Table Professional"/>
    <w:basedOn w:val="TableNormal"/>
    <w:rsid w:val="00A5038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B305C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52406">
      <w:bodyDiv w:val="1"/>
      <w:marLeft w:val="0"/>
      <w:marRight w:val="0"/>
      <w:marTop w:val="0"/>
      <w:marBottom w:val="0"/>
      <w:divBdr>
        <w:top w:val="none" w:sz="0" w:space="0" w:color="auto"/>
        <w:left w:val="none" w:sz="0" w:space="0" w:color="auto"/>
        <w:bottom w:val="none" w:sz="0" w:space="0" w:color="auto"/>
        <w:right w:val="none" w:sz="0" w:space="0" w:color="auto"/>
      </w:divBdr>
    </w:div>
    <w:div w:id="110580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20wolpin\Desktop\th_logo_ariel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th_logo_ariel_new.dot</Template>
  <TotalTime>2</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Tracy Hamilton, Inc.</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Joseph Wolpin</dc:creator>
  <cp:keywords/>
  <dc:description/>
  <cp:lastModifiedBy>Joseph Wolpin</cp:lastModifiedBy>
  <cp:revision>3</cp:revision>
  <cp:lastPrinted>2019-04-18T21:03:00Z</cp:lastPrinted>
  <dcterms:created xsi:type="dcterms:W3CDTF">2022-05-06T18:14:00Z</dcterms:created>
  <dcterms:modified xsi:type="dcterms:W3CDTF">2023-01-06T19:13:00Z</dcterms:modified>
</cp:coreProperties>
</file>